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bCs/>
          <w:color w:val="auto"/>
          <w:kern w:val="44"/>
          <w:sz w:val="30"/>
          <w:szCs w:val="30"/>
          <w:highlight w:val="none"/>
          <w:lang w:val="en-US" w:eastAsia="zh-CN"/>
        </w:rPr>
      </w:pPr>
      <w:bookmarkStart w:id="3" w:name="_GoBack"/>
      <w:bookmarkEnd w:id="3"/>
      <w:r>
        <w:rPr>
          <w:rFonts w:hint="eastAsia" w:ascii="宋体" w:hAnsi="宋体" w:eastAsia="宋体" w:cs="宋体"/>
          <w:b/>
          <w:bCs/>
          <w:color w:val="auto"/>
          <w:kern w:val="44"/>
          <w:sz w:val="30"/>
          <w:szCs w:val="30"/>
          <w:highlight w:val="none"/>
          <w:lang w:val="en-US" w:eastAsia="zh-CN"/>
        </w:rPr>
        <w:t>附件一：</w:t>
      </w:r>
    </w:p>
    <w:p>
      <w:pPr>
        <w:outlineLvl w:val="1"/>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一、服务内容及要求</w:t>
      </w:r>
    </w:p>
    <w:p>
      <w:pPr>
        <w:pStyle w:val="9"/>
        <w:spacing w:before="156" w:beforeLines="50" w:line="360" w:lineRule="auto"/>
        <w:ind w:firstLine="480"/>
        <w:rPr>
          <w:rFonts w:ascii="仿宋_GB2312" w:hAnsi="仿宋_GB2312" w:eastAsia="仿宋_GB2312" w:cs="仿宋_GB2312"/>
          <w:color w:val="auto"/>
          <w:sz w:val="24"/>
          <w:szCs w:val="24"/>
          <w:highlight w:val="none"/>
        </w:rPr>
      </w:pPr>
      <w:bookmarkStart w:id="0" w:name="_Toc24866"/>
      <w:r>
        <w:rPr>
          <w:rFonts w:hint="eastAsia" w:ascii="仿宋_GB2312" w:hAnsi="仿宋_GB2312" w:eastAsia="仿宋_GB2312" w:cs="仿宋_GB2312"/>
          <w:color w:val="auto"/>
          <w:sz w:val="24"/>
          <w:szCs w:val="24"/>
          <w:highlight w:val="none"/>
        </w:rPr>
        <w:t>（一）服务要求</w:t>
      </w:r>
    </w:p>
    <w:p>
      <w:pPr>
        <w:pStyle w:val="9"/>
        <w:spacing w:line="360" w:lineRule="auto"/>
        <w:ind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1、成交供应商应在合同签订后20个工作日以内，按照“</w:t>
      </w:r>
      <w:r>
        <w:rPr>
          <w:rFonts w:hint="eastAsia" w:ascii="仿宋_GB2312" w:hAnsi="仿宋_GB2312" w:eastAsia="仿宋_GB2312" w:cs="仿宋_GB2312"/>
          <w:color w:val="auto"/>
          <w:kern w:val="2"/>
          <w:sz w:val="24"/>
          <w:szCs w:val="24"/>
          <w:highlight w:val="none"/>
        </w:rPr>
        <w:t>设备配置情况表</w:t>
      </w:r>
      <w:r>
        <w:rPr>
          <w:rFonts w:hint="eastAsia" w:ascii="仿宋_GB2312" w:hAnsi="仿宋_GB2312" w:eastAsia="仿宋_GB2312" w:cs="仿宋_GB2312"/>
          <w:color w:val="auto"/>
          <w:sz w:val="24"/>
          <w:szCs w:val="24"/>
          <w:highlight w:val="none"/>
        </w:rPr>
        <w:t>”及采购人的要求完成租赁设备的安装、调试工作。</w:t>
      </w:r>
    </w:p>
    <w:p>
      <w:pPr>
        <w:pStyle w:val="9"/>
        <w:spacing w:line="360" w:lineRule="auto"/>
        <w:ind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bookmarkEnd w:id="0"/>
      <w:r>
        <w:rPr>
          <w:rFonts w:hint="eastAsia" w:ascii="仿宋_GB2312" w:hAnsi="仿宋_GB2312" w:eastAsia="仿宋_GB2312" w:cs="仿宋_GB2312"/>
          <w:color w:val="auto"/>
          <w:sz w:val="24"/>
          <w:szCs w:val="24"/>
          <w:highlight w:val="none"/>
        </w:rPr>
        <w:t>租赁设备验收：</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（1）租赁设备到达采购人指定地点后，成交供应商应会同采购人单位人员进行开箱、清点、外观检查，并填写开箱记录，双方签字确认。</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（2）成交供应商应保证货物到达采购人所在地完好无损，如有缺漏、损坏，由供应商负责调换、补齐或赔偿。</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（3）成交供应商应并派遣专业技术人员进行现场安装调试。</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（4）成交供应商提供的租赁设备满足以下条件方视为验收合格：</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①租赁设备技术参数与租赁合同一致，性能指标达到规定的标准；</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②租赁设备技术资料、装箱单、合格证等资料齐全；</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③在租赁设备试运行期间所出现的问题得到解决，并运行正常。</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（5）成交供应商未按时提供租赁设备或租赁设备验收不合格的，成交供应商将承担一切责任，并负责赔偿对采购人造成的全部损失。</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（6）租赁设备包装材料归采购人所有。</w:t>
      </w:r>
    </w:p>
    <w:p>
      <w:pPr>
        <w:pStyle w:val="10"/>
        <w:spacing w:line="360" w:lineRule="auto"/>
        <w:ind w:firstLine="480"/>
        <w:rPr>
          <w:rFonts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3、供应商承诺的租赁设备的质保期不得低于国家“三包”规定。提供租赁设备的质保承诺函（格式自拟）。</w:t>
      </w:r>
    </w:p>
    <w:p>
      <w:pPr>
        <w:pStyle w:val="5"/>
        <w:spacing w:line="360" w:lineRule="auto"/>
        <w:ind w:firstLine="0" w:firstLineChars="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（二）租赁设备配置情况表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505"/>
        <w:gridCol w:w="2255"/>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470"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位置</w:t>
            </w:r>
          </w:p>
        </w:tc>
        <w:tc>
          <w:tcPr>
            <w:tcW w:w="1323" w:type="pct"/>
            <w:noWrap w:val="0"/>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分机配置数量</w:t>
            </w:r>
          </w:p>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（暂定）</w:t>
            </w:r>
          </w:p>
        </w:tc>
        <w:tc>
          <w:tcPr>
            <w:tcW w:w="1617"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可供</w:t>
            </w:r>
          </w:p>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饮水人数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8"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470"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第一住院楼</w:t>
            </w:r>
          </w:p>
        </w:tc>
        <w:tc>
          <w:tcPr>
            <w:tcW w:w="1323"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分机38台</w:t>
            </w:r>
          </w:p>
        </w:tc>
        <w:tc>
          <w:tcPr>
            <w:tcW w:w="1617"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150-300人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8"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470"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第二住院楼</w:t>
            </w:r>
          </w:p>
        </w:tc>
        <w:tc>
          <w:tcPr>
            <w:tcW w:w="1323"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分机31台</w:t>
            </w:r>
          </w:p>
        </w:tc>
        <w:tc>
          <w:tcPr>
            <w:tcW w:w="1617"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100-240人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8"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470"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第三住院楼</w:t>
            </w:r>
          </w:p>
        </w:tc>
        <w:tc>
          <w:tcPr>
            <w:tcW w:w="1323"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分机9台</w:t>
            </w:r>
          </w:p>
        </w:tc>
        <w:tc>
          <w:tcPr>
            <w:tcW w:w="1617"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30-60人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8"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470"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医院综合楼</w:t>
            </w:r>
          </w:p>
        </w:tc>
        <w:tc>
          <w:tcPr>
            <w:tcW w:w="1323"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分机13台</w:t>
            </w:r>
          </w:p>
        </w:tc>
        <w:tc>
          <w:tcPr>
            <w:tcW w:w="1617"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60-80人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8"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470" w:type="pct"/>
            <w:noWrap w:val="0"/>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采购人指定地点</w:t>
            </w:r>
          </w:p>
        </w:tc>
        <w:tc>
          <w:tcPr>
            <w:tcW w:w="1323" w:type="pct"/>
            <w:noWrap w:val="0"/>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主机5台</w:t>
            </w:r>
          </w:p>
        </w:tc>
        <w:tc>
          <w:tcPr>
            <w:tcW w:w="1617" w:type="pct"/>
            <w:noWrap w:val="0"/>
            <w:vAlign w:val="center"/>
          </w:tcPr>
          <w:p>
            <w:pPr>
              <w:jc w:val="center"/>
              <w:rPr>
                <w:rFonts w:hint="eastAsia" w:ascii="仿宋_GB2312" w:hAnsi="仿宋_GB2312" w:eastAsia="仿宋_GB2312" w:cs="仿宋_GB2312"/>
                <w:color w:val="auto"/>
                <w:sz w:val="24"/>
                <w:highlight w:val="none"/>
              </w:rPr>
            </w:pPr>
          </w:p>
        </w:tc>
      </w:tr>
    </w:tbl>
    <w:p>
      <w:pPr>
        <w:spacing w:before="312" w:beforeLines="100" w:after="156" w:afterLines="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（三）租赁设备技术参数</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944"/>
        <w:gridCol w:w="540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名称</w:t>
            </w:r>
          </w:p>
        </w:tc>
        <w:tc>
          <w:tcPr>
            <w:tcW w:w="554"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型号</w:t>
            </w:r>
          </w:p>
        </w:tc>
        <w:tc>
          <w:tcPr>
            <w:tcW w:w="3174"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技术参数要求</w:t>
            </w:r>
          </w:p>
        </w:tc>
        <w:tc>
          <w:tcPr>
            <w:tcW w:w="720"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数量</w:t>
            </w:r>
          </w:p>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Merge w:val="restar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管线供水型</w:t>
            </w:r>
          </w:p>
        </w:tc>
        <w:tc>
          <w:tcPr>
            <w:tcW w:w="554" w:type="pct"/>
            <w:noWrap w:val="0"/>
            <w:vAlign w:val="center"/>
          </w:tcPr>
          <w:p>
            <w:pPr>
              <w:spacing w:line="72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主机</w:t>
            </w:r>
          </w:p>
        </w:tc>
        <w:tc>
          <w:tcPr>
            <w:tcW w:w="3174" w:type="pct"/>
            <w:noWrap w:val="0"/>
            <w:vAlign w:val="top"/>
          </w:tcPr>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★1.材质：“食品级”管材</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★2.供水量：</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压力桶：30-50L</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制水量：40L/H</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★3.过滤配置：≥5级（具备RO反渗透功能）</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★4.具备节水功能</w:t>
            </w:r>
          </w:p>
        </w:tc>
        <w:tc>
          <w:tcPr>
            <w:tcW w:w="720" w:type="pct"/>
            <w:noWrap w:val="0"/>
            <w:vAlign w:val="center"/>
          </w:tcPr>
          <w:p>
            <w:pPr>
              <w:spacing w:line="72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551" w:type="pct"/>
            <w:vMerge w:val="continue"/>
            <w:noWrap w:val="0"/>
            <w:vAlign w:val="center"/>
          </w:tcPr>
          <w:p>
            <w:pPr>
              <w:jc w:val="center"/>
              <w:rPr>
                <w:rFonts w:hint="eastAsia" w:ascii="仿宋_GB2312" w:hAnsi="仿宋_GB2312" w:eastAsia="仿宋_GB2312" w:cs="仿宋_GB2312"/>
                <w:color w:val="auto"/>
                <w:sz w:val="24"/>
                <w:highlight w:val="none"/>
              </w:rPr>
            </w:pPr>
          </w:p>
        </w:tc>
        <w:tc>
          <w:tcPr>
            <w:tcW w:w="554"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立式分机</w:t>
            </w:r>
          </w:p>
        </w:tc>
        <w:tc>
          <w:tcPr>
            <w:tcW w:w="3174" w:type="pct"/>
            <w:noWrap w:val="0"/>
            <w:vAlign w:val="top"/>
          </w:tcPr>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★1.材质：“食品级”管材</w:t>
            </w:r>
          </w:p>
          <w:p>
            <w:pPr>
              <w:tabs>
                <w:tab w:val="left" w:pos="312"/>
              </w:tabs>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2.具备智能加热防护技术</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★3.供水要求：</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热水制水量：≥5L/H</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冷水温度≤15℃</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★4.具备杀菌功能</w:t>
            </w:r>
          </w:p>
          <w:p>
            <w:pPr>
              <w:ind w:firstLine="240" w:firstLineChars="1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5.加热功率≤500W</w:t>
            </w:r>
          </w:p>
        </w:tc>
        <w:tc>
          <w:tcPr>
            <w:tcW w:w="720" w:type="pct"/>
            <w:noWrap w:val="0"/>
            <w:vAlign w:val="center"/>
          </w:tcPr>
          <w:p>
            <w:pPr>
              <w:spacing w:line="72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Merge w:val="continue"/>
            <w:noWrap w:val="0"/>
            <w:vAlign w:val="center"/>
          </w:tcPr>
          <w:p>
            <w:pPr>
              <w:spacing w:line="720" w:lineRule="auto"/>
              <w:jc w:val="center"/>
              <w:rPr>
                <w:rFonts w:hint="eastAsia" w:ascii="仿宋_GB2312" w:hAnsi="仿宋_GB2312" w:eastAsia="仿宋_GB2312" w:cs="仿宋_GB2312"/>
                <w:color w:val="auto"/>
                <w:sz w:val="24"/>
                <w:highlight w:val="none"/>
              </w:rPr>
            </w:pPr>
          </w:p>
        </w:tc>
        <w:tc>
          <w:tcPr>
            <w:tcW w:w="554" w:type="pct"/>
            <w:noWrap w:val="0"/>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壁挂式分机</w:t>
            </w:r>
          </w:p>
        </w:tc>
        <w:tc>
          <w:tcPr>
            <w:tcW w:w="3174" w:type="pct"/>
            <w:noWrap w:val="0"/>
            <w:vAlign w:val="top"/>
          </w:tcPr>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★1.材质：“食品级”管材</w:t>
            </w:r>
          </w:p>
          <w:p>
            <w:pPr>
              <w:ind w:firstLine="240" w:firstLineChars="1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2.具备智能加热防护技术</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★3.热胆容量：</w:t>
            </w:r>
            <w:r>
              <w:rPr>
                <w:rFonts w:hint="eastAsia" w:ascii="微软雅黑" w:hAnsi="微软雅黑" w:eastAsia="微软雅黑" w:cs="仿宋_GB2312"/>
                <w:color w:val="auto"/>
                <w:sz w:val="24"/>
                <w:highlight w:val="none"/>
              </w:rPr>
              <w:t>≥</w:t>
            </w:r>
            <w:r>
              <w:rPr>
                <w:rFonts w:hint="eastAsia" w:ascii="仿宋_GB2312" w:hAnsi="仿宋_GB2312" w:eastAsia="仿宋_GB2312" w:cs="仿宋_GB2312"/>
                <w:color w:val="auto"/>
                <w:sz w:val="24"/>
                <w:highlight w:val="none"/>
              </w:rPr>
              <w:t>1L</w:t>
            </w:r>
          </w:p>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★4.具备杀菌功能</w:t>
            </w:r>
          </w:p>
        </w:tc>
        <w:tc>
          <w:tcPr>
            <w:tcW w:w="720" w:type="pct"/>
            <w:noWrap w:val="0"/>
            <w:vAlign w:val="center"/>
          </w:tcPr>
          <w:p>
            <w:pPr>
              <w:spacing w:line="72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89台</w:t>
            </w:r>
          </w:p>
        </w:tc>
      </w:tr>
    </w:tbl>
    <w:p>
      <w:pPr>
        <w:pStyle w:val="9"/>
        <w:spacing w:line="360" w:lineRule="auto"/>
        <w:ind w:firstLine="480"/>
        <w:rPr>
          <w:rFonts w:ascii="仿宋_GB2312" w:hAnsi="仿宋_GB2312" w:eastAsia="仿宋_GB2312" w:cs="仿宋_GB2312"/>
          <w:color w:val="auto"/>
          <w:sz w:val="24"/>
          <w:szCs w:val="24"/>
          <w:highlight w:val="none"/>
        </w:rPr>
      </w:pPr>
      <w:bookmarkStart w:id="1" w:name="_Toc407"/>
      <w:r>
        <w:rPr>
          <w:rFonts w:hint="eastAsia" w:ascii="仿宋_GB2312" w:hAnsi="仿宋_GB2312" w:eastAsia="仿宋_GB2312" w:cs="仿宋_GB2312"/>
          <w:color w:val="auto"/>
          <w:sz w:val="24"/>
          <w:szCs w:val="24"/>
          <w:highlight w:val="none"/>
        </w:rPr>
        <w:t>注：带“★”号要求为重要要求。</w:t>
      </w:r>
    </w:p>
    <w:p>
      <w:pPr>
        <w:pStyle w:val="9"/>
        <w:spacing w:line="360" w:lineRule="auto"/>
        <w:ind w:firstLine="0" w:firstLineChars="0"/>
        <w:outlineLvl w:val="1"/>
        <w:rPr>
          <w:rFonts w:ascii="仿宋_GB2312" w:hAnsi="仿宋_GB2312" w:eastAsia="仿宋_GB2312" w:cs="仿宋_GB2312"/>
          <w:b/>
          <w:bCs/>
          <w:color w:val="auto"/>
          <w:kern w:val="2"/>
          <w:szCs w:val="28"/>
          <w:highlight w:val="none"/>
        </w:rPr>
      </w:pPr>
      <w:r>
        <w:rPr>
          <w:rFonts w:hint="eastAsia" w:ascii="仿宋_GB2312" w:hAnsi="仿宋_GB2312" w:eastAsia="仿宋_GB2312" w:cs="仿宋_GB2312"/>
          <w:b/>
          <w:bCs/>
          <w:color w:val="auto"/>
          <w:kern w:val="2"/>
          <w:szCs w:val="28"/>
          <w:highlight w:val="none"/>
        </w:rPr>
        <w:t>二、商务要求</w:t>
      </w:r>
    </w:p>
    <w:p>
      <w:pPr>
        <w:pStyle w:val="9"/>
        <w:spacing w:line="360" w:lineRule="auto"/>
        <w:ind w:firstLine="48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（一）服务期限：1年。</w:t>
      </w:r>
    </w:p>
    <w:p>
      <w:pPr>
        <w:pStyle w:val="9"/>
        <w:spacing w:line="360" w:lineRule="auto"/>
        <w:ind w:firstLine="48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（二）服务地点：内江市东兴区人民医院指定地点。</w:t>
      </w:r>
    </w:p>
    <w:p>
      <w:pPr>
        <w:pStyle w:val="9"/>
        <w:spacing w:line="360" w:lineRule="auto"/>
        <w:ind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（三）报价要求</w:t>
      </w:r>
      <w:bookmarkEnd w:id="1"/>
      <w:r>
        <w:rPr>
          <w:rFonts w:hint="eastAsia" w:ascii="仿宋_GB2312" w:hAnsi="仿宋_GB2312" w:eastAsia="仿宋_GB2312" w:cs="仿宋_GB2312"/>
          <w:color w:val="auto"/>
          <w:sz w:val="24"/>
          <w:szCs w:val="24"/>
          <w:highlight w:val="none"/>
        </w:rPr>
        <w:t>：</w:t>
      </w:r>
      <w:r>
        <w:rPr>
          <w:rStyle w:val="11"/>
          <w:rFonts w:hint="eastAsia" w:ascii="仿宋_GB2312" w:hAnsi="仿宋_GB2312" w:cs="仿宋_GB2312"/>
          <w:color w:val="auto"/>
          <w:sz w:val="24"/>
          <w:szCs w:val="24"/>
          <w:highlight w:val="none"/>
        </w:rPr>
        <w:t>磋商报价应是最终采购人验收合格后的该项目总价，包括完成本项目所需的设备租赁费（须分别报出不同型号机型的租赁单价）、检测费、运输费、装卸费、后期服务费、安装调试费、维保费及各种应缴税费。因成交供应商自身原因造成漏报、少报皆由其自行承担责任，租赁人不再补偿</w:t>
      </w:r>
      <w:r>
        <w:rPr>
          <w:rFonts w:hint="eastAsia" w:ascii="仿宋_GB2312" w:hAnsi="仿宋_GB2312" w:eastAsia="仿宋_GB2312" w:cs="仿宋_GB2312"/>
          <w:color w:val="auto"/>
          <w:sz w:val="24"/>
          <w:szCs w:val="24"/>
          <w:highlight w:val="none"/>
        </w:rPr>
        <w:t>。</w:t>
      </w:r>
    </w:p>
    <w:p>
      <w:pPr>
        <w:pStyle w:val="9"/>
        <w:spacing w:line="360" w:lineRule="auto"/>
        <w:ind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（四）付款方式：</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成交供应商提供的租赁设备经采购人验收合格后，采购人将按合同约定付款。</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（五）售后服务要求：</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成交供应商在质保期内应当为采购人提供以下技术支持和服务，提供售后服务承诺函（格式自拟）；若由租赁设备制造商（指租赁设备生产制造商或其负责售后服务机构，以下同）负责售后服务的，应当在响应文件中予以明确说明。</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1、电话咨询</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供应商应当为采购人提供技术援助电话，解答采购人在使用中遇到的问题，及时为采购人提出解决问题的建议。</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2、现场响应</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采购人遇到电话咨询不能解决的使用及技术问题，成交供应商应在24小时内到达现场进行处理；无法在48小时内解决的，应在72小时内提供备用产品及配件，以维持采购人的正常使用。</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3、定期必须更换设备全部所有滤芯（含PP棉、活性炭、RO膜等）；</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4、定期向医院提供具备CMA检测资质的第三方机构出具的检测合格的随机抽取水样书面检测报告原件一份；</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5、每月对租赁设备进行清洗及维护一次，同时自行水质检测，确保TDS值在20以内。</w:t>
      </w:r>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6、成交供应商在服务期限内，维修使用的备品备件及易损件应为原厂配件，未经租赁人同意不得使用非原厂配件；</w:t>
      </w:r>
    </w:p>
    <w:p>
      <w:pPr>
        <w:pStyle w:val="9"/>
        <w:spacing w:line="360" w:lineRule="auto"/>
        <w:ind w:firstLine="480"/>
        <w:rPr>
          <w:rFonts w:hint="eastAsia" w:ascii="仿宋_GB2312" w:hAnsi="仿宋_GB2312" w:eastAsia="仿宋_GB2312" w:cs="仿宋_GB2312"/>
          <w:color w:val="auto"/>
          <w:sz w:val="24"/>
          <w:szCs w:val="24"/>
          <w:highlight w:val="none"/>
        </w:rPr>
      </w:pPr>
      <w:bookmarkStart w:id="2" w:name="_Toc13956"/>
      <w:r>
        <w:rPr>
          <w:rFonts w:hint="eastAsia" w:ascii="仿宋_GB2312" w:hAnsi="仿宋_GB2312" w:eastAsia="仿宋_GB2312" w:cs="仿宋_GB2312"/>
          <w:color w:val="auto"/>
          <w:sz w:val="24"/>
          <w:szCs w:val="24"/>
          <w:highlight w:val="none"/>
        </w:rPr>
        <w:t>（六）知识产权</w:t>
      </w:r>
      <w:bookmarkEnd w:id="2"/>
    </w:p>
    <w:p>
      <w:pPr>
        <w:pStyle w:val="10"/>
        <w:spacing w:line="360" w:lineRule="auto"/>
        <w:ind w:firstLine="480"/>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采购人在中华人民共和国境内使用成交供应商提供的服务时免受第三方提出的侵犯其专利权或其它知识产权的起诉。如果第三方提出侵权指控，成交供应商应承担由此而引起的一切法律责任和费用。</w:t>
      </w:r>
    </w:p>
    <w:p>
      <w:pPr>
        <w:pStyle w:val="3"/>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1"/>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bCs/>
          <w:color w:val="auto"/>
          <w:kern w:val="44"/>
          <w:sz w:val="30"/>
          <w:szCs w:val="30"/>
          <w:highlight w:val="none"/>
          <w:lang w:eastAsia="zh-CN"/>
        </w:rPr>
        <w:br w:type="page"/>
      </w:r>
      <w:r>
        <w:rPr>
          <w:rFonts w:hint="eastAsia" w:ascii="仿宋_GB2312" w:hAnsi="仿宋_GB2312" w:eastAsia="仿宋_GB2312" w:cs="仿宋_GB2312"/>
          <w:b/>
          <w:bCs/>
          <w:color w:val="auto"/>
          <w:kern w:val="44"/>
          <w:sz w:val="30"/>
          <w:szCs w:val="30"/>
          <w:highlight w:val="none"/>
          <w:lang w:eastAsia="zh-CN"/>
        </w:rPr>
        <w:t>附件</w:t>
      </w:r>
      <w:r>
        <w:rPr>
          <w:rFonts w:hint="eastAsia" w:ascii="仿宋_GB2312" w:hAnsi="仿宋_GB2312" w:cs="仿宋_GB2312"/>
          <w:b/>
          <w:bCs/>
          <w:color w:val="auto"/>
          <w:kern w:val="44"/>
          <w:sz w:val="30"/>
          <w:szCs w:val="30"/>
          <w:highlight w:val="none"/>
          <w:lang w:eastAsia="zh-CN"/>
        </w:rPr>
        <w:t>二</w:t>
      </w:r>
    </w:p>
    <w:p>
      <w:pPr>
        <w:pageBreakBefore w:val="0"/>
        <w:kinsoku/>
        <w:wordWrap/>
        <w:overflowPunct/>
        <w:topLinePunct w:val="0"/>
        <w:bidi w:val="0"/>
        <w:spacing w:line="360" w:lineRule="auto"/>
        <w:jc w:val="center"/>
        <w:rPr>
          <w:rFonts w:hint="eastAsia" w:ascii="仿宋_GB2312" w:hAnsi="仿宋_GB2312" w:eastAsia="仿宋_GB2312" w:cs="仿宋_GB2312"/>
          <w:b/>
          <w:color w:val="auto"/>
          <w:sz w:val="36"/>
          <w:szCs w:val="36"/>
          <w:highlight w:val="none"/>
        </w:rPr>
      </w:pPr>
      <w:r>
        <w:rPr>
          <w:rFonts w:hint="eastAsia" w:ascii="仿宋_GB2312" w:hAnsi="仿宋_GB2312" w:cs="仿宋_GB2312"/>
          <w:b/>
          <w:bCs/>
          <w:color w:val="auto"/>
          <w:sz w:val="36"/>
          <w:szCs w:val="36"/>
          <w:highlight w:val="none"/>
          <w:lang w:eastAsia="zh-CN"/>
        </w:rPr>
        <w:t>供应商</w:t>
      </w:r>
      <w:r>
        <w:rPr>
          <w:rFonts w:hint="eastAsia" w:ascii="仿宋_GB2312" w:hAnsi="仿宋_GB2312" w:eastAsia="仿宋_GB2312" w:cs="仿宋_GB2312"/>
          <w:b/>
          <w:bCs/>
          <w:color w:val="auto"/>
          <w:sz w:val="36"/>
          <w:szCs w:val="36"/>
          <w:highlight w:val="none"/>
        </w:rPr>
        <w:t>报名登记表</w:t>
      </w:r>
    </w:p>
    <w:tbl>
      <w:tblPr>
        <w:tblStyle w:val="6"/>
        <w:tblW w:w="9691" w:type="dxa"/>
        <w:jc w:val="center"/>
        <w:tblLayout w:type="fixed"/>
        <w:tblCellMar>
          <w:top w:w="15" w:type="dxa"/>
          <w:left w:w="15" w:type="dxa"/>
          <w:bottom w:w="15" w:type="dxa"/>
          <w:right w:w="15" w:type="dxa"/>
        </w:tblCellMar>
      </w:tblPr>
      <w:tblGrid>
        <w:gridCol w:w="2612"/>
        <w:gridCol w:w="7079"/>
      </w:tblGrid>
      <w:tr>
        <w:tblPrEx>
          <w:tblCellMar>
            <w:top w:w="15" w:type="dxa"/>
            <w:left w:w="15" w:type="dxa"/>
            <w:bottom w:w="15" w:type="dxa"/>
            <w:right w:w="15" w:type="dxa"/>
          </w:tblCellMar>
        </w:tblPrEx>
        <w:trPr>
          <w:trHeight w:val="680" w:hRule="exact"/>
          <w:jc w:val="center"/>
        </w:trPr>
        <w:tc>
          <w:tcPr>
            <w:tcW w:w="261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项目</w:t>
            </w:r>
            <w:r>
              <w:rPr>
                <w:rFonts w:hint="eastAsia" w:ascii="仿宋_GB2312" w:hAnsi="仿宋_GB2312" w:eastAsia="仿宋_GB2312" w:cs="仿宋_GB2312"/>
                <w:color w:val="auto"/>
                <w:sz w:val="24"/>
                <w:highlight w:val="none"/>
              </w:rPr>
              <w:t>编号</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240" w:lineRule="auto"/>
              <w:jc w:val="left"/>
              <w:textAlignment w:val="center"/>
              <w:rPr>
                <w:rFonts w:hint="eastAsia" w:ascii="仿宋_GB2312" w:hAnsi="仿宋_GB2312" w:eastAsia="仿宋_GB2312" w:cs="仿宋_GB2312"/>
                <w:color w:val="auto"/>
                <w:kern w:val="0"/>
                <w:sz w:val="32"/>
                <w:szCs w:val="32"/>
                <w:highlight w:val="none"/>
                <w:lang w:bidi="ar"/>
              </w:rPr>
            </w:pPr>
          </w:p>
        </w:tc>
      </w:tr>
      <w:tr>
        <w:tblPrEx>
          <w:tblCellMar>
            <w:top w:w="15" w:type="dxa"/>
            <w:left w:w="15" w:type="dxa"/>
            <w:bottom w:w="15" w:type="dxa"/>
            <w:right w:w="15" w:type="dxa"/>
          </w:tblCellMar>
        </w:tblPrEx>
        <w:trPr>
          <w:trHeight w:val="680" w:hRule="exact"/>
          <w:jc w:val="center"/>
        </w:trPr>
        <w:tc>
          <w:tcPr>
            <w:tcW w:w="2612" w:type="dxa"/>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auto" w:sz="4" w:space="0"/>
              <w:left w:val="single" w:color="auto" w:sz="4" w:space="0"/>
              <w:bottom w:val="single" w:color="000000" w:sz="4" w:space="0"/>
              <w:right w:val="single" w:color="auto" w:sz="4" w:space="0"/>
            </w:tcBorders>
            <w:noWrap w:val="0"/>
            <w:vAlign w:val="center"/>
          </w:tcPr>
          <w:p>
            <w:pPr>
              <w:pageBreakBefore w:val="0"/>
              <w:widowControl/>
              <w:kinsoku/>
              <w:wordWrap/>
              <w:overflowPunct/>
              <w:topLinePunct w:val="0"/>
              <w:bidi w:val="0"/>
              <w:spacing w:line="240" w:lineRule="auto"/>
              <w:jc w:val="left"/>
              <w:textAlignment w:val="center"/>
              <w:rPr>
                <w:rFonts w:hint="eastAsia" w:ascii="仿宋_GB2312" w:hAnsi="仿宋_GB2312" w:eastAsia="仿宋_GB2312" w:cs="仿宋_GB2312"/>
                <w:color w:val="auto"/>
                <w:kern w:val="0"/>
                <w:sz w:val="32"/>
                <w:szCs w:val="32"/>
                <w:highlight w:val="none"/>
                <w:lang w:bidi="ar"/>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000000" w:sz="4" w:space="0"/>
              <w:left w:val="single" w:color="auto"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24"/>
                <w:szCs w:val="24"/>
                <w:highlight w:val="none"/>
              </w:rPr>
              <w:t>（加盖公章）</w:t>
            </w: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单位地址</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购买文件时间</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单位固定电话</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经办人移动电话</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单位传真</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电子邮箱</w:t>
            </w:r>
            <w:r>
              <w:rPr>
                <w:rFonts w:hint="eastAsia" w:ascii="仿宋_GB2312" w:hAnsi="仿宋_GB2312" w:eastAsia="仿宋_GB2312" w:cs="仿宋_GB2312"/>
                <w:color w:val="auto"/>
                <w:sz w:val="24"/>
                <w:highlight w:val="none"/>
                <w:lang w:val="en-US" w:eastAsia="zh-CN"/>
              </w:rPr>
              <w:t>(必填）</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r>
        <w:tblPrEx>
          <w:tblCellMar>
            <w:top w:w="15" w:type="dxa"/>
            <w:left w:w="15" w:type="dxa"/>
            <w:bottom w:w="15" w:type="dxa"/>
            <w:right w:w="15" w:type="dxa"/>
          </w:tblCellMar>
        </w:tblPrEx>
        <w:trPr>
          <w:trHeight w:val="680" w:hRule="exact"/>
          <w:jc w:val="center"/>
        </w:trPr>
        <w:tc>
          <w:tcPr>
            <w:tcW w:w="26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24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    注</w:t>
            </w:r>
          </w:p>
        </w:tc>
        <w:tc>
          <w:tcPr>
            <w:tcW w:w="7079" w:type="dxa"/>
            <w:tcBorders>
              <w:top w:val="single" w:color="000000" w:sz="4" w:space="0"/>
              <w:left w:val="single" w:color="000000" w:sz="4" w:space="0"/>
              <w:bottom w:val="single" w:color="000000" w:sz="4" w:space="0"/>
              <w:right w:val="single" w:color="000000" w:sz="4" w:space="0"/>
            </w:tcBorders>
            <w:noWrap w:val="0"/>
            <w:vAlign w:val="bottom"/>
          </w:tcPr>
          <w:p>
            <w:pPr>
              <w:pageBreakBefore w:val="0"/>
              <w:kinsoku/>
              <w:wordWrap/>
              <w:overflowPunct/>
              <w:topLinePunct w:val="0"/>
              <w:bidi w:val="0"/>
              <w:spacing w:line="240" w:lineRule="auto"/>
              <w:rPr>
                <w:rFonts w:hint="eastAsia" w:ascii="仿宋_GB2312" w:hAnsi="仿宋_GB2312" w:eastAsia="仿宋_GB2312" w:cs="仿宋_GB2312"/>
                <w:color w:val="auto"/>
                <w:sz w:val="32"/>
                <w:szCs w:val="32"/>
                <w:highlight w:val="none"/>
              </w:rPr>
            </w:pPr>
          </w:p>
        </w:tc>
      </w:tr>
    </w:tbl>
    <w:p>
      <w:pPr>
        <w:jc w:val="both"/>
        <w:rPr>
          <w:rFonts w:hint="eastAsia"/>
          <w:b/>
          <w:bCs/>
          <w:color w:val="auto"/>
          <w:sz w:val="44"/>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360" w:lineRule="auto"/>
        <w:ind w:right="0" w:rightChars="0"/>
        <w:jc w:val="left"/>
        <w:textAlignment w:val="auto"/>
        <w:outlineLvl w:val="9"/>
        <w:rPr>
          <w:rFonts w:hint="eastAsia" w:ascii="宋体" w:hAnsi="宋体" w:eastAsia="宋体" w:cs="宋体"/>
          <w:b/>
          <w:bCs/>
          <w:color w:val="auto"/>
          <w:sz w:val="24"/>
          <w:szCs w:val="24"/>
          <w:highlight w:val="none"/>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B0BB1"/>
    <w:rsid w:val="28FB0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spacing w:after="120" w:afterLines="0"/>
    </w:pPr>
    <w:rPr>
      <w:rFonts w:ascii="Times New Roman"/>
      <w:kern w:val="2"/>
      <w:sz w:val="21"/>
      <w:szCs w:val="24"/>
    </w:rPr>
  </w:style>
  <w:style w:type="paragraph" w:styleId="3">
    <w:name w:val="Body Text First Indent"/>
    <w:basedOn w:val="2"/>
    <w:unhideWhenUsed/>
    <w:qFormat/>
    <w:uiPriority w:val="99"/>
    <w:pPr>
      <w:ind w:firstLine="420" w:firstLineChars="100"/>
    </w:pPr>
  </w:style>
  <w:style w:type="paragraph" w:styleId="4">
    <w:name w:val="Body Text Indent"/>
    <w:basedOn w:val="1"/>
    <w:next w:val="5"/>
    <w:qFormat/>
    <w:uiPriority w:val="0"/>
    <w:pPr>
      <w:ind w:firstLine="630"/>
    </w:pPr>
    <w:rPr>
      <w:rFonts w:ascii="Times New Roman" w:hAnsi="Times New Roman"/>
      <w:sz w:val="32"/>
      <w:szCs w:val="20"/>
    </w:rPr>
  </w:style>
  <w:style w:type="paragraph" w:styleId="5">
    <w:name w:val="Body Text First Indent 2"/>
    <w:basedOn w:val="4"/>
    <w:qFormat/>
    <w:uiPriority w:val="0"/>
    <w:pPr>
      <w:ind w:firstLine="420" w:firstLineChars="200"/>
    </w:pPr>
  </w:style>
  <w:style w:type="paragraph" w:customStyle="1" w:styleId="8">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9">
    <w:name w:val="黑体四号"/>
    <w:qFormat/>
    <w:uiPriority w:val="0"/>
    <w:pPr>
      <w:ind w:firstLine="520" w:firstLineChars="200"/>
    </w:pPr>
    <w:rPr>
      <w:rFonts w:ascii="Times New Roman" w:hAnsi="Times New Roman" w:eastAsia="黑体" w:cs="Times New Roman"/>
      <w:sz w:val="28"/>
      <w:lang w:val="en-US" w:eastAsia="zh-CN" w:bidi="ar-SA"/>
    </w:rPr>
  </w:style>
  <w:style w:type="paragraph" w:customStyle="1" w:styleId="10">
    <w:name w:val="仿宋三号"/>
    <w:link w:val="11"/>
    <w:qFormat/>
    <w:uiPriority w:val="0"/>
    <w:pPr>
      <w:ind w:firstLine="520" w:firstLineChars="200"/>
    </w:pPr>
    <w:rPr>
      <w:rFonts w:ascii="Times New Roman" w:hAnsi="Times New Roman" w:eastAsia="仿宋_GB2312" w:cs="Times New Roman"/>
      <w:sz w:val="28"/>
      <w:lang w:val="en-US" w:eastAsia="zh-CN" w:bidi="ar-SA"/>
    </w:rPr>
  </w:style>
  <w:style w:type="character" w:customStyle="1" w:styleId="11">
    <w:name w:val="仿宋三号 Char"/>
    <w:link w:val="10"/>
    <w:qFormat/>
    <w:uiPriority w:val="0"/>
    <w:rPr>
      <w:rFonts w:ascii="Times New Roman" w:hAnsi="Times New Roman" w:eastAsia="仿宋_GB2312" w:cs="Times New Roman"/>
      <w:sz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2020-06-10T08:13:00Z</dcterms:created>
  <dc:creator>奇怪了纳闷儿了</dc:creator>
  <cp:lastModifiedBy>奇怪了纳闷儿了</cp:lastModifiedBy>
  <dcterms:modified xsi:type="dcterms:W3CDTF">2020-06-10T08:14:09Z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